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kern w:val="0"/>
                <w:sz w:val="21"/>
                <w:szCs w:val="21"/>
              </w:rPr>
            </w:pPr>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kern w:val="0"/>
                <w:sz w:val="21"/>
                <w:szCs w:val="21"/>
              </w:rPr>
            </w:pPr>
            <w:bookmarkStart w:id="0" w:name="ICS"/>
            <w:r>
              <w:rPr>
                <w:rFonts w:ascii="黑体" w:hAnsi="黑体" w:eastAsia="黑体"/>
                <w:kern w:val="0"/>
                <w:sz w:val="21"/>
                <w:szCs w:val="21"/>
              </w:rPr>
              <w:fldChar w:fldCharType="begin">
                <w:ffData>
                  <w:name w:val="ICS"/>
                  <w:enabled/>
                  <w:calcOnExit w:val="0"/>
                  <w:textInput>
                    <w:default w:val="点击此处添加I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 xml:space="preserve"> </w:t>
            </w:r>
            <w:r>
              <w:rPr>
                <w:rFonts w:ascii="黑体" w:hAnsi="黑体"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bookmarkStart w:id="1" w:name="CSDN"/>
            <w:r>
              <w:rPr>
                <w:rFonts w:ascii="黑体" w:hAnsi="黑体" w:eastAsia="黑体"/>
                <w:kern w:val="0"/>
                <w:sz w:val="21"/>
                <w:szCs w:val="21"/>
              </w:rPr>
              <w:fldChar w:fldCharType="begin">
                <w:ffData>
                  <w:name w:val="CSDN"/>
                  <w:enabled/>
                  <w:calcOnExit w:val="0"/>
                  <w:textInput>
                    <w:default w:val="点击此处添加C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点击此处添加CCS号</w:t>
            </w:r>
            <w:r>
              <w:rPr>
                <w:rFonts w:ascii="黑体" w:hAnsi="黑体"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5"/>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3"/>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黑体" w:hAnsi="黑体" w:eastAsia="黑体"/>
          <w:b w:val="0"/>
          <w:bCs w:val="0"/>
          <w:sz w:val="48"/>
          <w:szCs w:val="48"/>
        </w:rPr>
      </w:pPr>
      <w:bookmarkStart w:id="4" w:name="c2"/>
      <w:r>
        <w:rPr>
          <w:rFonts w:ascii="黑体" w:eastAsia="黑体"/>
          <w:b w:val="0"/>
          <w:sz w:val="48"/>
        </w:rPr>
        <w:fldChar w:fldCharType="begin">
          <w:ffData>
            <w:name w:val="c2"/>
            <w:enabled/>
            <w:calcOnExit w:val="0"/>
            <w:textInput/>
          </w:ffData>
        </w:fldChar>
      </w:r>
      <w:r>
        <w:rPr>
          <w:rFonts w:ascii="黑体" w:eastAsia="黑体"/>
          <w:b w:val="0"/>
          <w:sz w:val="48"/>
        </w:rPr>
        <w:instrText xml:space="preserve"> FORMTEXT </w:instrText>
      </w:r>
      <w:r>
        <w:rPr>
          <w:rFonts w:ascii="黑体" w:eastAsia="黑体"/>
          <w:b w:val="0"/>
          <w:sz w:val="48"/>
        </w:rPr>
        <w:fldChar w:fldCharType="separate"/>
      </w:r>
      <w:r>
        <w:rPr>
          <w:rFonts w:hint="eastAsia" w:ascii="黑体" w:eastAsia="黑体"/>
          <w:b w:val="0"/>
          <w:sz w:val="48"/>
        </w:rPr>
        <w:t>陕</w:t>
      </w:r>
      <w:r>
        <w:rPr>
          <w:rFonts w:ascii="黑体" w:eastAsia="黑体"/>
          <w:b w:val="0"/>
          <w:sz w:val="48"/>
        </w:rPr>
        <w:t>西省</w:t>
      </w:r>
      <w:r>
        <w:rPr>
          <w:rFonts w:ascii="黑体" w:eastAsia="黑体"/>
          <w:b w:val="0"/>
          <w:sz w:val="48"/>
        </w:rPr>
        <w:fldChar w:fldCharType="end"/>
      </w:r>
      <w:bookmarkEnd w:id="4"/>
      <w:r>
        <w:rPr>
          <w:rFonts w:hint="eastAsia" w:ascii="黑体" w:hAnsi="黑体" w:eastAsia="黑体"/>
          <w:b w:val="0"/>
          <w:bCs w:val="0"/>
          <w:sz w:val="48"/>
          <w:szCs w:val="48"/>
        </w:rPr>
        <w:t>地方标准</w:t>
      </w:r>
      <w:bookmarkEnd w:id="2"/>
    </w:p>
    <w:p>
      <w:pPr>
        <w:pStyle w:val="200"/>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61/T</w:t>
      </w:r>
      <w: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7"/>
    </w:p>
    <w:p>
      <w:pPr>
        <w:pStyle w:val="201"/>
        <w:rPr>
          <w:rFonts w:hAnsi="黑体"/>
        </w:rPr>
      </w:pPr>
      <w:r>
        <w:rPr>
          <w:rFonts w:hAnsi="黑体"/>
        </w:rPr>
        <w:fldChar w:fldCharType="begin">
          <w:ffData>
            <w:name w:val="OSTD_CODE"/>
            <w:enabled/>
            <w:calcOnExit w:val="0"/>
            <w:textInput>
              <w:default w:val="代替DB61/T 886-2014"/>
            </w:textInput>
          </w:ffData>
        </w:fldChar>
      </w:r>
      <w:bookmarkStart w:id="8" w:name="OSTD_CODE"/>
      <w:r>
        <w:rPr>
          <w:rFonts w:hAnsi="黑体"/>
        </w:rPr>
        <w:instrText xml:space="preserve"> FORMTEXT </w:instrText>
      </w:r>
      <w:r>
        <w:rPr>
          <w:rFonts w:hAnsi="黑体"/>
        </w:rPr>
        <w:fldChar w:fldCharType="separate"/>
      </w:r>
      <w:r>
        <w:rPr>
          <w:rFonts w:hAnsi="黑体"/>
        </w:rPr>
        <w:t>代替DB61/T 886-2014</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黑体" w:hAnsi="黑体" w:eastAsia="黑体"/>
          <w:b w:val="0"/>
          <w:bCs w:val="0"/>
        </w:rPr>
      </w:pPr>
    </w:p>
    <w:p>
      <w:pPr>
        <w:pStyle w:val="202"/>
        <w:framePr w:h="6974" w:hRule="exact" w:x="1419"/>
      </w:pPr>
      <w:r>
        <w:fldChar w:fldCharType="begin">
          <w:ffData>
            <w:name w:val="CSTD_NAME"/>
            <w:enabled/>
            <w:calcOnExit w:val="0"/>
            <w:textInput>
              <w:default w:val="猕猴桃生产 第1部分：立地环境条件"/>
            </w:textInput>
          </w:ffData>
        </w:fldChar>
      </w:r>
      <w:bookmarkStart w:id="9" w:name="CSTD_NAME"/>
      <w:r>
        <w:instrText xml:space="preserve"> FORMTEXT </w:instrText>
      </w:r>
      <w:r>
        <w:fldChar w:fldCharType="separate"/>
      </w:r>
      <w:r>
        <w:t>猕猴桃生产 第1部分：立地环境条件</w:t>
      </w:r>
      <w:r>
        <w:fldChar w:fldCharType="end"/>
      </w:r>
      <w:bookmarkEnd w:id="9"/>
    </w:p>
    <w:p>
      <w:pPr>
        <w:framePr w:w="9639" w:h="6974" w:hRule="exact" w:wrap="around" w:vAnchor="page" w:hAnchor="page" w:x="1419" w:y="6408"/>
        <w:ind w:left="-1418"/>
      </w:pPr>
    </w:p>
    <w:p>
      <w:pPr>
        <w:framePr w:w="9639" w:h="6974" w:hRule="exact" w:wrap="around" w:vAnchor="page" w:hAnchor="page" w:x="1419" w:y="6408"/>
        <w:spacing w:line="760" w:lineRule="exact"/>
        <w:ind w:left="-1418"/>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9"/>
        <w:framePr w:y="14176"/>
      </w:pPr>
      <w:bookmarkStart w:id="16"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6"/>
        <w:framePr w:h="584" w:hRule="exact" w:hSpace="181" w:vSpace="181" w:y="15027"/>
        <w:rPr>
          <w:rFonts w:hAnsi="黑体"/>
        </w:rPr>
      </w:pPr>
      <w:bookmarkStart w:id="19" w:name="fm"/>
      <w:r>
        <w:rPr>
          <w:rFonts w:hAnsi="黑体"/>
          <w:sz w:val="28"/>
        </w:rPr>
        <w:fldChar w:fldCharType="begin">
          <w:ffData>
            <w:name w:val="fm"/>
            <w:enabled/>
            <w:calcOnExit w:val="0"/>
            <w:textInput/>
          </w:ffData>
        </w:fldChar>
      </w:r>
      <w:r>
        <w:rPr>
          <w:rFonts w:hAnsi="黑体"/>
          <w:sz w:val="28"/>
        </w:rPr>
        <w:instrText xml:space="preserve"> FORMTEXT </w:instrText>
      </w:r>
      <w:r>
        <w:rPr>
          <w:rFonts w:hAnsi="黑体"/>
          <w:sz w:val="28"/>
        </w:rPr>
        <w:fldChar w:fldCharType="separate"/>
      </w:r>
      <w:r>
        <w:rPr>
          <w:rFonts w:hint="eastAsia" w:hAnsi="黑体"/>
          <w:sz w:val="28"/>
        </w:rPr>
        <w:t>陕西省市场监督管理局</w:t>
      </w:r>
      <w:r>
        <w:rPr>
          <w:rFonts w:hAnsi="黑体"/>
          <w:sz w:val="28"/>
        </w:rPr>
        <w:fldChar w:fldCharType="end"/>
      </w:r>
      <w:bookmarkEnd w:id="19"/>
      <w:r>
        <w:rPr>
          <w:rFonts w:ascii="Times New Roman"/>
          <w:sz w:val="28"/>
        </w:rPr>
        <w:t>  </w:t>
      </w:r>
      <w:r>
        <w:rPr>
          <w:rStyle w:val="234"/>
          <w:rFonts w:hint="eastAsia" w:hAnsi="黑体"/>
        </w:rPr>
        <w:t>发布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pPr>
      <w:bookmarkStart w:id="20" w:name="BookMark2"/>
      <w:bookmarkStart w:id="21" w:name="_Hlk183881796"/>
      <w:r>
        <w:rPr>
          <w:spacing w:val="320"/>
        </w:rPr>
        <w:t>前</w:t>
      </w:r>
      <w:r>
        <w:t>言</w:t>
      </w:r>
    </w:p>
    <w:p>
      <w:pPr>
        <w:pStyle w:val="62"/>
        <w:ind w:firstLine="420"/>
      </w:pPr>
      <w:r>
        <w:rPr>
          <w:rFonts w:hint="eastAsia"/>
        </w:rPr>
        <w:t>本文件依据GB/T 1.1 《标准化工作导则 第1部分：标准的结构和编写》给出的规则起草。</w:t>
      </w:r>
    </w:p>
    <w:p>
      <w:pPr>
        <w:pStyle w:val="62"/>
        <w:ind w:firstLine="420"/>
      </w:pPr>
      <w:r>
        <w:rPr>
          <w:rFonts w:hint="eastAsia"/>
        </w:rPr>
        <w:t>本文件代替</w:t>
      </w:r>
      <w:r>
        <w:t>DB61/T 886-2014</w:t>
      </w:r>
      <w:r>
        <w:rPr>
          <w:rFonts w:hint="eastAsia"/>
        </w:rPr>
        <w:t>《猕猴桃 适宜区立地环境条件》，与</w:t>
      </w:r>
      <w:r>
        <w:t>DB61/T 886-2014</w:t>
      </w:r>
      <w:r>
        <w:rPr>
          <w:rFonts w:hint="eastAsia"/>
        </w:rPr>
        <w:t>相比，除结构调整和编辑性修改外，主要技术变化如下：</w:t>
      </w:r>
    </w:p>
    <w:p>
      <w:pPr>
        <w:pStyle w:val="62"/>
        <w:ind w:firstLine="420"/>
      </w:pPr>
      <w:r>
        <w:rPr>
          <w:rFonts w:hint="eastAsia"/>
        </w:rPr>
        <w:t>a)修改了名称；</w:t>
      </w:r>
    </w:p>
    <w:p>
      <w:pPr>
        <w:pStyle w:val="62"/>
        <w:ind w:firstLine="420"/>
      </w:pPr>
      <w:r>
        <w:rPr>
          <w:rFonts w:hint="eastAsia"/>
        </w:rPr>
        <w:t>b)调整了前言部分；</w:t>
      </w:r>
    </w:p>
    <w:p>
      <w:pPr>
        <w:pStyle w:val="62"/>
        <w:ind w:firstLine="420"/>
      </w:pPr>
      <w:r>
        <w:rPr>
          <w:rFonts w:hint="eastAsia"/>
        </w:rPr>
        <w:t>c)调整了引用文件；</w:t>
      </w:r>
    </w:p>
    <w:p>
      <w:pPr>
        <w:pStyle w:val="62"/>
        <w:ind w:firstLine="420"/>
      </w:pPr>
      <w:r>
        <w:t>d</w:t>
      </w:r>
      <w:r>
        <w:rPr>
          <w:rFonts w:hint="eastAsia"/>
        </w:rPr>
        <w:t>)修改了范围；</w:t>
      </w:r>
    </w:p>
    <w:p>
      <w:pPr>
        <w:pStyle w:val="62"/>
        <w:ind w:firstLine="420"/>
      </w:pPr>
      <w:r>
        <w:t>e</w:t>
      </w:r>
      <w:r>
        <w:rPr>
          <w:rFonts w:hint="eastAsia"/>
        </w:rPr>
        <w:t>)修改了术语定义；</w:t>
      </w:r>
    </w:p>
    <w:p>
      <w:pPr>
        <w:pStyle w:val="62"/>
        <w:ind w:firstLine="420"/>
      </w:pPr>
      <w:r>
        <w:t>f</w:t>
      </w:r>
      <w:r>
        <w:rPr>
          <w:rFonts w:hint="eastAsia"/>
        </w:rPr>
        <w:t>)调整了立地因子顺序；</w:t>
      </w:r>
      <w:bookmarkStart w:id="55" w:name="_GoBack"/>
      <w:bookmarkEnd w:id="55"/>
    </w:p>
    <w:p>
      <w:pPr>
        <w:pStyle w:val="62"/>
        <w:ind w:firstLine="420"/>
      </w:pPr>
      <w:r>
        <w:t>g</w:t>
      </w:r>
      <w:r>
        <w:rPr>
          <w:rFonts w:hint="eastAsia"/>
        </w:rPr>
        <w:t>)删除了地形、坡向；</w:t>
      </w:r>
    </w:p>
    <w:p>
      <w:pPr>
        <w:pStyle w:val="62"/>
        <w:ind w:firstLine="420"/>
      </w:pPr>
      <w:r>
        <w:t>h</w:t>
      </w:r>
      <w:r>
        <w:rPr>
          <w:rFonts w:hint="eastAsia"/>
        </w:rPr>
        <w:t>)增加了立地条件。</w:t>
      </w:r>
    </w:p>
    <w:p>
      <w:pPr>
        <w:pStyle w:val="62"/>
        <w:ind w:firstLine="420"/>
      </w:pPr>
      <w:r>
        <w:rPr>
          <w:rFonts w:hint="eastAsia"/>
        </w:rPr>
        <w:t>本文件由陕西省农业农村厅提出并归口。</w:t>
      </w:r>
    </w:p>
    <w:p>
      <w:pPr>
        <w:pStyle w:val="62"/>
        <w:ind w:firstLine="420"/>
      </w:pPr>
      <w:r>
        <w:rPr>
          <w:rFonts w:hint="eastAsia"/>
        </w:rPr>
        <w:t>本文件起草单位：陕西省果业中心、西北农林科技大学、眉县农业农村局、</w:t>
      </w:r>
      <w:bookmarkStart w:id="22" w:name="_Hlk188448882"/>
      <w:r>
        <w:rPr>
          <w:rFonts w:hint="eastAsia"/>
        </w:rPr>
        <w:t>汉中市农业技术推广与培训中心、安康市农业科学研究院、临渭区果业发展中心、商洛市特色产业与休闲农业指导中心、杨凌梦绿生态农业有限责任公司</w:t>
      </w:r>
      <w:bookmarkEnd w:id="22"/>
      <w:r>
        <w:rPr>
          <w:rFonts w:hint="eastAsia"/>
        </w:rPr>
        <w:t>。</w:t>
      </w:r>
    </w:p>
    <w:p>
      <w:pPr>
        <w:pStyle w:val="62"/>
        <w:ind w:firstLine="420"/>
      </w:pPr>
      <w:r>
        <w:rPr>
          <w:rFonts w:hint="eastAsia"/>
        </w:rPr>
        <w:t>本文件主要起草人：</w:t>
      </w:r>
      <w:r>
        <w:rPr>
          <w:rFonts w:hint="eastAsia"/>
          <w:lang w:eastAsia="zh-CN"/>
        </w:rPr>
        <w:t>杨建伟、</w:t>
      </w:r>
      <w:r>
        <w:rPr>
          <w:rFonts w:hint="eastAsia"/>
        </w:rPr>
        <w:t>刘占德、刘艳飞、王南南、贺浩浩、王国军、刘光哲、赵菊琴、张文慧、唐晓东、何若梦、谢利华、史孟凡、许云鹏、孟红志、高志雄。</w:t>
      </w:r>
    </w:p>
    <w:p>
      <w:pPr>
        <w:pStyle w:val="62"/>
        <w:ind w:firstLine="420"/>
      </w:pPr>
      <w:r>
        <w:rPr>
          <w:rFonts w:hint="eastAsia"/>
        </w:rPr>
        <w:t>本文件为第一次修订。</w:t>
      </w:r>
    </w:p>
    <w:p>
      <w:pPr>
        <w:pStyle w:val="62"/>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sdtPr>
      <w:sdtContent>
        <w:p>
          <w:pPr>
            <w:pStyle w:val="182"/>
            <w:spacing w:before="312" w:beforeLines="100" w:after="686" w:afterLines="220"/>
          </w:pPr>
          <w:bookmarkStart w:id="24" w:name="NEW_STAND_NAME"/>
          <w:r>
            <w:rPr>
              <w:rFonts w:hint="eastAsia"/>
            </w:rPr>
            <w:t>猕猴桃生产 第1部分：立地环境条件</w:t>
          </w:r>
        </w:p>
      </w:sdtContent>
    </w:sdt>
    <w:bookmarkEnd w:id="24"/>
    <w:p>
      <w:pPr>
        <w:pStyle w:val="109"/>
        <w:spacing w:before="312" w:after="312"/>
      </w:pPr>
      <w:bookmarkStart w:id="25" w:name="_Toc26718930"/>
      <w:bookmarkStart w:id="26" w:name="_Toc17233333"/>
      <w:bookmarkStart w:id="27" w:name="_Toc26986771"/>
      <w:bookmarkStart w:id="28" w:name="_Toc26648465"/>
      <w:bookmarkStart w:id="29" w:name="_Toc24884218"/>
      <w:bookmarkStart w:id="30" w:name="_Toc26986530"/>
      <w:bookmarkStart w:id="31" w:name="_Toc17233325"/>
      <w:bookmarkStart w:id="32" w:name="_Toc24884211"/>
      <w:bookmarkStart w:id="33" w:name="_Toc97191423"/>
      <w:r>
        <w:rPr>
          <w:rFonts w:hint="eastAsia"/>
        </w:rPr>
        <w:t>范围</w:t>
      </w:r>
      <w:bookmarkEnd w:id="25"/>
      <w:bookmarkEnd w:id="26"/>
      <w:bookmarkEnd w:id="27"/>
      <w:bookmarkEnd w:id="28"/>
      <w:bookmarkEnd w:id="29"/>
      <w:bookmarkEnd w:id="30"/>
      <w:bookmarkEnd w:id="31"/>
      <w:bookmarkEnd w:id="32"/>
      <w:bookmarkEnd w:id="33"/>
    </w:p>
    <w:p>
      <w:pPr>
        <w:pStyle w:val="62"/>
        <w:ind w:firstLine="420"/>
      </w:pPr>
      <w:bookmarkStart w:id="34" w:name="_Toc26648466"/>
      <w:bookmarkStart w:id="35" w:name="_Toc24884219"/>
      <w:bookmarkStart w:id="36" w:name="_Toc17233326"/>
      <w:bookmarkStart w:id="37" w:name="_Toc17233334"/>
      <w:bookmarkStart w:id="38" w:name="_Toc24884212"/>
      <w:r>
        <w:rPr>
          <w:rFonts w:hint="eastAsia"/>
        </w:rPr>
        <w:t>本文件规定了猕猴桃适宜区的产地环境选择要求，包括对空气、水分、温度、光照、土壤、立体条件、风的要求。</w:t>
      </w:r>
    </w:p>
    <w:p>
      <w:pPr>
        <w:pStyle w:val="62"/>
        <w:ind w:firstLine="420"/>
      </w:pPr>
      <w:r>
        <w:rPr>
          <w:rFonts w:hint="eastAsia"/>
        </w:rPr>
        <w:t>本文件适用于陕西秦岭北麓和陕南秦巴山区猕猴桃适宜区的基地建设规划与布局。</w:t>
      </w:r>
    </w:p>
    <w:p>
      <w:pPr>
        <w:pStyle w:val="109"/>
        <w:spacing w:before="312" w:after="312"/>
      </w:pPr>
      <w:bookmarkStart w:id="39" w:name="_Toc26718931"/>
      <w:bookmarkStart w:id="40" w:name="_Toc97191424"/>
      <w:bookmarkStart w:id="41" w:name="_Toc26986772"/>
      <w:bookmarkStart w:id="42" w:name="_Toc269865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2"/>
        <w:ind w:firstLine="420"/>
      </w:pPr>
      <w:r>
        <w:rPr>
          <w:rFonts w:hint="eastAsia"/>
        </w:rPr>
        <w:t>GB 3095 《环境空气质量标准》</w:t>
      </w:r>
    </w:p>
    <w:p>
      <w:pPr>
        <w:pStyle w:val="62"/>
        <w:ind w:firstLine="420"/>
      </w:pPr>
      <w:r>
        <w:rPr>
          <w:rFonts w:hint="eastAsia"/>
        </w:rPr>
        <w:t>GB 5084 《农田灌溉水质标准》</w:t>
      </w:r>
    </w:p>
    <w:p>
      <w:pPr>
        <w:pStyle w:val="62"/>
        <w:ind w:firstLine="420"/>
      </w:pPr>
      <w:r>
        <w:rPr>
          <w:rFonts w:hint="eastAsia"/>
        </w:rPr>
        <w:t>GB 15618 《土壤环境质量标准》</w:t>
      </w:r>
    </w:p>
    <w:p>
      <w:pPr>
        <w:pStyle w:val="62"/>
        <w:ind w:firstLine="420"/>
      </w:pPr>
      <w:r>
        <w:rPr>
          <w:rFonts w:hint="eastAsia"/>
        </w:rPr>
        <w:t>NY/T 391 《绿色食品 产地环境技术条件》</w:t>
      </w:r>
    </w:p>
    <w:p>
      <w:pPr>
        <w:pStyle w:val="62"/>
        <w:ind w:firstLine="420"/>
      </w:pPr>
      <w:r>
        <w:rPr>
          <w:rFonts w:hint="eastAsia"/>
        </w:rPr>
        <w:t>NY/T 395 《农田土壤环境质量》</w:t>
      </w:r>
    </w:p>
    <w:p>
      <w:pPr>
        <w:pStyle w:val="62"/>
        <w:ind w:firstLine="420"/>
      </w:pPr>
      <w:r>
        <w:rPr>
          <w:rFonts w:hint="eastAsia"/>
        </w:rPr>
        <w:t>NY 5107-2002 《无公害食品 猕猴桃产地环境条件》</w:t>
      </w:r>
    </w:p>
    <w:p>
      <w:pPr>
        <w:pStyle w:val="109"/>
        <w:spacing w:before="312" w:after="312"/>
        <w:rPr>
          <w:szCs w:val="21"/>
        </w:rPr>
      </w:pPr>
      <w:bookmarkStart w:id="43" w:name="_Toc97191425"/>
      <w:r>
        <w:rPr>
          <w:rFonts w:hint="eastAsia"/>
          <w:szCs w:val="21"/>
        </w:rPr>
        <w:t>术语和定义</w:t>
      </w:r>
      <w:bookmarkEnd w:id="43"/>
    </w:p>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2"/>
            <w:ind w:firstLine="420"/>
          </w:pPr>
          <w:r>
            <w:t>本文件没有需要界定的术语和定义。</w:t>
          </w:r>
        </w:p>
      </w:sdtContent>
    </w:sdt>
    <w:bookmarkEnd w:id="23"/>
    <w:p>
      <w:pPr>
        <w:pStyle w:val="109"/>
        <w:spacing w:before="312" w:after="312"/>
        <w:rPr>
          <w:szCs w:val="21"/>
        </w:rPr>
      </w:pPr>
      <w:bookmarkStart w:id="44" w:name="BookMark8"/>
      <w:r>
        <w:rPr>
          <w:szCs w:val="21"/>
        </w:rPr>
        <w:t>空气</w:t>
      </w:r>
    </w:p>
    <w:p>
      <w:pPr>
        <w:pStyle w:val="110"/>
        <w:spacing w:before="156" w:after="156"/>
      </w:pPr>
      <w:r>
        <w:t>空气质量</w:t>
      </w:r>
    </w:p>
    <w:p>
      <w:pPr>
        <w:pStyle w:val="62"/>
        <w:ind w:firstLine="420"/>
      </w:pPr>
      <w:r>
        <w:t>达到GB 3095环境空气功能区二类标准，空气中主要污染物含量不应超过表1所列的浓度值。</w:t>
      </w:r>
    </w:p>
    <w:p>
      <w:pPr>
        <w:pStyle w:val="117"/>
        <w:spacing w:before="156" w:after="156"/>
      </w:pPr>
      <w:r>
        <w:t>猕猴桃生产基地空气污染物浓度限量指标</w:t>
      </w:r>
    </w:p>
    <w:tbl>
      <w:tblPr>
        <w:tblStyle w:val="36"/>
        <w:tblW w:w="904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383"/>
        <w:gridCol w:w="2904"/>
        <w:gridCol w:w="275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3383" w:type="dxa"/>
            <w:vMerge w:val="restart"/>
            <w:tcBorders>
              <w:top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项目</w:t>
            </w:r>
          </w:p>
        </w:tc>
        <w:tc>
          <w:tcPr>
            <w:tcW w:w="5657" w:type="dxa"/>
            <w:gridSpan w:val="2"/>
            <w:tcBorders>
              <w:top w:val="single" w:color="auto" w:sz="8" w:space="0"/>
              <w:bottom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主要污染物含量浓度限值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5" w:hRule="atLeast"/>
          <w:jc w:val="center"/>
        </w:trPr>
        <w:tc>
          <w:tcPr>
            <w:tcW w:w="3383" w:type="dxa"/>
            <w:vMerge w:val="continue"/>
            <w:tcBorders>
              <w:bottom w:val="single" w:color="auto" w:sz="4" w:space="0"/>
            </w:tcBorders>
            <w:vAlign w:val="center"/>
          </w:tcPr>
          <w:p>
            <w:pPr>
              <w:pStyle w:val="246"/>
              <w:spacing w:line="340" w:lineRule="exact"/>
              <w:ind w:firstLine="0" w:firstLineChars="0"/>
              <w:jc w:val="center"/>
              <w:rPr>
                <w:rFonts w:hAnsi="宋体" w:eastAsia="宋体"/>
                <w:sz w:val="18"/>
                <w:szCs w:val="18"/>
              </w:rPr>
            </w:pPr>
          </w:p>
        </w:tc>
        <w:tc>
          <w:tcPr>
            <w:tcW w:w="2904" w:type="dxa"/>
            <w:tcBorders>
              <w:top w:val="single" w:color="auto" w:sz="8" w:space="0"/>
              <w:bottom w:val="single" w:color="auto" w:sz="4"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年平均</w:t>
            </w:r>
          </w:p>
        </w:tc>
        <w:tc>
          <w:tcPr>
            <w:tcW w:w="2753" w:type="dxa"/>
            <w:tcBorders>
              <w:top w:val="single" w:color="auto" w:sz="8" w:space="0"/>
              <w:bottom w:val="single" w:color="auto" w:sz="4"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24 h平均/季平均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jc w:val="center"/>
        </w:trPr>
        <w:tc>
          <w:tcPr>
            <w:tcW w:w="3383" w:type="dxa"/>
            <w:tcBorders>
              <w:top w:val="single" w:color="auto" w:sz="4" w:space="0"/>
              <w:bottom w:val="single" w:color="auto" w:sz="8" w:space="0"/>
            </w:tcBorders>
            <w:vAlign w:val="center"/>
          </w:tcPr>
          <w:p>
            <w:pPr>
              <w:pStyle w:val="246"/>
              <w:spacing w:line="340" w:lineRule="exact"/>
              <w:ind w:firstLine="0" w:firstLineChars="0"/>
              <w:rPr>
                <w:rFonts w:hAnsi="宋体" w:eastAsia="宋体"/>
                <w:sz w:val="18"/>
                <w:szCs w:val="18"/>
              </w:rPr>
            </w:pPr>
            <w:r>
              <w:rPr>
                <w:rFonts w:hAnsi="宋体" w:eastAsia="宋体"/>
                <w:sz w:val="18"/>
                <w:szCs w:val="18"/>
              </w:rPr>
              <w:t>总悬浮颗粒物（TSP）（μg/m</w:t>
            </w:r>
            <w:r>
              <w:rPr>
                <w:rFonts w:hAnsi="宋体" w:eastAsia="宋体"/>
                <w:sz w:val="18"/>
                <w:szCs w:val="18"/>
                <w:vertAlign w:val="superscript"/>
              </w:rPr>
              <w:t>3</w:t>
            </w:r>
            <w:r>
              <w:rPr>
                <w:rFonts w:hAnsi="宋体" w:eastAsia="宋体"/>
                <w:sz w:val="18"/>
                <w:szCs w:val="18"/>
              </w:rPr>
              <w:t>）</w:t>
            </w:r>
          </w:p>
        </w:tc>
        <w:tc>
          <w:tcPr>
            <w:tcW w:w="2904" w:type="dxa"/>
            <w:tcBorders>
              <w:top w:val="single" w:color="auto" w:sz="4" w:space="0"/>
              <w:bottom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200</w:t>
            </w:r>
          </w:p>
        </w:tc>
        <w:tc>
          <w:tcPr>
            <w:tcW w:w="2753" w:type="dxa"/>
            <w:tcBorders>
              <w:top w:val="single" w:color="auto" w:sz="4" w:space="0"/>
              <w:bottom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3383" w:type="dxa"/>
            <w:tcBorders>
              <w:top w:val="single" w:color="auto" w:sz="4" w:space="0"/>
              <w:bottom w:val="single" w:color="auto" w:sz="8" w:space="0"/>
            </w:tcBorders>
            <w:vAlign w:val="center"/>
          </w:tcPr>
          <w:p>
            <w:pPr>
              <w:pStyle w:val="246"/>
              <w:spacing w:line="340" w:lineRule="exact"/>
              <w:ind w:firstLine="0" w:firstLineChars="0"/>
              <w:rPr>
                <w:rFonts w:hAnsi="宋体" w:eastAsia="宋体"/>
                <w:sz w:val="18"/>
                <w:szCs w:val="18"/>
              </w:rPr>
            </w:pPr>
            <w:r>
              <w:rPr>
                <w:rFonts w:hAnsi="宋体" w:eastAsia="宋体"/>
                <w:sz w:val="18"/>
                <w:szCs w:val="18"/>
              </w:rPr>
              <w:t>二氧化硫（标准状态） （μg/m</w:t>
            </w:r>
            <w:r>
              <w:rPr>
                <w:rFonts w:hAnsi="宋体" w:eastAsia="宋体"/>
                <w:sz w:val="18"/>
                <w:szCs w:val="18"/>
                <w:vertAlign w:val="superscript"/>
              </w:rPr>
              <w:t>3</w:t>
            </w:r>
            <w:r>
              <w:rPr>
                <w:rFonts w:hAnsi="宋体" w:eastAsia="宋体"/>
                <w:sz w:val="18"/>
                <w:szCs w:val="18"/>
              </w:rPr>
              <w:t>)</w:t>
            </w:r>
          </w:p>
        </w:tc>
        <w:tc>
          <w:tcPr>
            <w:tcW w:w="2904" w:type="dxa"/>
            <w:tcBorders>
              <w:top w:val="single" w:color="auto" w:sz="4" w:space="0"/>
              <w:bottom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60</w:t>
            </w:r>
          </w:p>
        </w:tc>
        <w:tc>
          <w:tcPr>
            <w:tcW w:w="2753" w:type="dxa"/>
            <w:tcBorders>
              <w:top w:val="single" w:color="auto" w:sz="4" w:space="0"/>
              <w:bottom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150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3383" w:type="dxa"/>
            <w:tcBorders>
              <w:top w:val="single" w:color="auto" w:sz="8" w:space="0"/>
            </w:tcBorders>
            <w:vAlign w:val="center"/>
          </w:tcPr>
          <w:p>
            <w:pPr>
              <w:pStyle w:val="246"/>
              <w:spacing w:line="340" w:lineRule="exact"/>
              <w:ind w:firstLine="0" w:firstLineChars="0"/>
              <w:rPr>
                <w:rFonts w:hAnsi="宋体" w:eastAsia="宋体"/>
                <w:sz w:val="18"/>
                <w:szCs w:val="18"/>
              </w:rPr>
            </w:pPr>
            <w:r>
              <w:rPr>
                <w:rFonts w:hAnsi="宋体" w:eastAsia="宋体"/>
                <w:sz w:val="18"/>
                <w:szCs w:val="18"/>
              </w:rPr>
              <w:t>氮氧化物（标准状态） (μg/m</w:t>
            </w:r>
            <w:r>
              <w:rPr>
                <w:rFonts w:hAnsi="宋体" w:eastAsia="宋体"/>
                <w:sz w:val="18"/>
                <w:szCs w:val="18"/>
                <w:vertAlign w:val="superscript"/>
              </w:rPr>
              <w:t>3</w:t>
            </w:r>
            <w:r>
              <w:rPr>
                <w:rFonts w:hAnsi="宋体" w:eastAsia="宋体"/>
                <w:sz w:val="18"/>
                <w:szCs w:val="18"/>
              </w:rPr>
              <w:t xml:space="preserve">) </w:t>
            </w:r>
          </w:p>
        </w:tc>
        <w:tc>
          <w:tcPr>
            <w:tcW w:w="2904" w:type="dxa"/>
            <w:tcBorders>
              <w:top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50</w:t>
            </w:r>
          </w:p>
        </w:tc>
        <w:tc>
          <w:tcPr>
            <w:tcW w:w="2753" w:type="dxa"/>
            <w:tcBorders>
              <w:top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3383" w:type="dxa"/>
            <w:tcBorders>
              <w:top w:val="single" w:color="auto" w:sz="8" w:space="0"/>
            </w:tcBorders>
            <w:vAlign w:val="center"/>
          </w:tcPr>
          <w:p>
            <w:pPr>
              <w:pStyle w:val="246"/>
              <w:spacing w:line="340" w:lineRule="exact"/>
              <w:ind w:firstLine="0" w:firstLineChars="0"/>
              <w:rPr>
                <w:rFonts w:hAnsi="宋体" w:eastAsia="宋体"/>
                <w:sz w:val="18"/>
                <w:szCs w:val="18"/>
              </w:rPr>
            </w:pPr>
            <w:r>
              <w:rPr>
                <w:rFonts w:hAnsi="宋体" w:eastAsia="宋体"/>
                <w:sz w:val="18"/>
                <w:szCs w:val="18"/>
              </w:rPr>
              <w:t>氟化物（标准状态）(μg/m</w:t>
            </w:r>
            <w:r>
              <w:rPr>
                <w:rFonts w:hAnsi="宋体" w:eastAsia="宋体"/>
                <w:sz w:val="18"/>
                <w:szCs w:val="18"/>
                <w:vertAlign w:val="superscript"/>
              </w:rPr>
              <w:t>3</w:t>
            </w:r>
            <w:r>
              <w:rPr>
                <w:rFonts w:hAnsi="宋体" w:eastAsia="宋体"/>
                <w:sz w:val="18"/>
                <w:szCs w:val="18"/>
              </w:rPr>
              <w:t>)</w:t>
            </w:r>
          </w:p>
        </w:tc>
        <w:tc>
          <w:tcPr>
            <w:tcW w:w="2904" w:type="dxa"/>
            <w:tcBorders>
              <w:top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w:t>
            </w:r>
          </w:p>
        </w:tc>
        <w:tc>
          <w:tcPr>
            <w:tcW w:w="2753" w:type="dxa"/>
            <w:tcBorders>
              <w:top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3383" w:type="dxa"/>
            <w:tcBorders>
              <w:top w:val="single" w:color="auto" w:sz="8" w:space="0"/>
            </w:tcBorders>
            <w:vAlign w:val="center"/>
          </w:tcPr>
          <w:p>
            <w:pPr>
              <w:pStyle w:val="246"/>
              <w:spacing w:line="340" w:lineRule="exact"/>
              <w:ind w:firstLine="0" w:firstLineChars="0"/>
              <w:rPr>
                <w:rFonts w:hAnsi="宋体" w:eastAsia="宋体"/>
                <w:sz w:val="18"/>
                <w:szCs w:val="18"/>
              </w:rPr>
            </w:pPr>
            <w:r>
              <w:rPr>
                <w:rFonts w:hAnsi="宋体" w:eastAsia="宋体"/>
                <w:sz w:val="18"/>
                <w:szCs w:val="18"/>
              </w:rPr>
              <w:t>铅 Pb (μg/m</w:t>
            </w:r>
            <w:r>
              <w:rPr>
                <w:rFonts w:hAnsi="宋体" w:eastAsia="宋体"/>
                <w:sz w:val="18"/>
                <w:szCs w:val="18"/>
                <w:vertAlign w:val="superscript"/>
              </w:rPr>
              <w:t>3</w:t>
            </w:r>
            <w:r>
              <w:rPr>
                <w:rFonts w:hAnsi="宋体" w:eastAsia="宋体"/>
                <w:sz w:val="18"/>
                <w:szCs w:val="18"/>
              </w:rPr>
              <w:t>)</w:t>
            </w:r>
          </w:p>
        </w:tc>
        <w:tc>
          <w:tcPr>
            <w:tcW w:w="2904" w:type="dxa"/>
            <w:tcBorders>
              <w:top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0.5</w:t>
            </w:r>
          </w:p>
        </w:tc>
        <w:tc>
          <w:tcPr>
            <w:tcW w:w="2753" w:type="dxa"/>
            <w:tcBorders>
              <w:top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1 （季平均）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3383" w:type="dxa"/>
            <w:tcBorders>
              <w:top w:val="single" w:color="auto" w:sz="8" w:space="0"/>
            </w:tcBorders>
            <w:vAlign w:val="center"/>
          </w:tcPr>
          <w:p>
            <w:pPr>
              <w:pStyle w:val="246"/>
              <w:spacing w:line="340" w:lineRule="exact"/>
              <w:ind w:firstLine="0" w:firstLineChars="0"/>
              <w:rPr>
                <w:rFonts w:hAnsi="宋体" w:eastAsia="宋体"/>
                <w:sz w:val="18"/>
                <w:szCs w:val="18"/>
              </w:rPr>
            </w:pPr>
            <w:r>
              <w:rPr>
                <w:rFonts w:hAnsi="宋体" w:eastAsia="宋体"/>
                <w:sz w:val="18"/>
                <w:szCs w:val="18"/>
              </w:rPr>
              <w:t>苯并[a]芘 B(a)P (μg/m</w:t>
            </w:r>
            <w:r>
              <w:rPr>
                <w:rFonts w:hAnsi="宋体" w:eastAsia="宋体"/>
                <w:sz w:val="18"/>
                <w:szCs w:val="18"/>
                <w:vertAlign w:val="superscript"/>
              </w:rPr>
              <w:t>3</w:t>
            </w:r>
            <w:r>
              <w:rPr>
                <w:rFonts w:hAnsi="宋体" w:eastAsia="宋体"/>
                <w:sz w:val="18"/>
                <w:szCs w:val="18"/>
              </w:rPr>
              <w:t>)</w:t>
            </w:r>
          </w:p>
        </w:tc>
        <w:tc>
          <w:tcPr>
            <w:tcW w:w="2904" w:type="dxa"/>
            <w:tcBorders>
              <w:top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0.001</w:t>
            </w:r>
          </w:p>
        </w:tc>
        <w:tc>
          <w:tcPr>
            <w:tcW w:w="2753" w:type="dxa"/>
            <w:tcBorders>
              <w:top w:val="single" w:color="auto" w:sz="8" w:space="0"/>
            </w:tcBorders>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0.0025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9040" w:type="dxa"/>
            <w:gridSpan w:val="3"/>
            <w:vAlign w:val="center"/>
          </w:tcPr>
          <w:p>
            <w:pPr>
              <w:pStyle w:val="246"/>
              <w:spacing w:line="340" w:lineRule="exact"/>
              <w:ind w:firstLine="0" w:firstLineChars="0"/>
              <w:rPr>
                <w:rFonts w:hAnsi="宋体" w:eastAsia="宋体"/>
                <w:sz w:val="18"/>
                <w:szCs w:val="18"/>
              </w:rPr>
            </w:pPr>
            <w:r>
              <w:rPr>
                <w:rFonts w:hAnsi="宋体" w:eastAsia="宋体"/>
                <w:sz w:val="18"/>
                <w:szCs w:val="18"/>
              </w:rPr>
              <w:t xml:space="preserve">注：年平均指任何一年内各日平均浓度的平均值；24h平均指一个自然日24h平均浓度的平均值。                                                                                                                                                                                                                                                         </w:t>
            </w:r>
          </w:p>
        </w:tc>
      </w:tr>
    </w:tbl>
    <w:p>
      <w:pPr>
        <w:pStyle w:val="110"/>
        <w:spacing w:before="156" w:after="156"/>
      </w:pPr>
      <w:bookmarkStart w:id="45" w:name="_Toc375590526"/>
      <w:r>
        <w:t>空气相对湿度</w:t>
      </w:r>
    </w:p>
    <w:p>
      <w:pPr>
        <w:pStyle w:val="62"/>
        <w:ind w:firstLine="420"/>
      </w:pPr>
      <w:r>
        <w:t>年平均空气相对湿度65%～75%为宜。</w:t>
      </w:r>
    </w:p>
    <w:p>
      <w:pPr>
        <w:pStyle w:val="109"/>
        <w:spacing w:before="312" w:after="312"/>
        <w:rPr>
          <w:szCs w:val="21"/>
        </w:rPr>
      </w:pPr>
      <w:r>
        <w:rPr>
          <w:szCs w:val="21"/>
        </w:rPr>
        <w:t>水分</w:t>
      </w:r>
      <w:bookmarkEnd w:id="45"/>
    </w:p>
    <w:p>
      <w:pPr>
        <w:pStyle w:val="62"/>
        <w:ind w:firstLine="420"/>
      </w:pPr>
      <w:bookmarkStart w:id="46" w:name="_Toc375590529"/>
      <w:bookmarkStart w:id="47" w:name="_Toc375590527"/>
      <w:r>
        <w:t>猕猴桃喜水怕涝，需水量较大。既不耐干旱，又不耐水涝，需要良好配套的灌溉和排水设施条件。</w:t>
      </w:r>
    </w:p>
    <w:p>
      <w:pPr>
        <w:pStyle w:val="110"/>
        <w:spacing w:before="156" w:after="156"/>
      </w:pPr>
      <w:r>
        <w:t>降雨量</w:t>
      </w:r>
    </w:p>
    <w:p>
      <w:pPr>
        <w:pStyle w:val="62"/>
        <w:ind w:firstLine="420"/>
      </w:pPr>
      <w:r>
        <w:t>猕猴桃适宜区年平均降水量为</w:t>
      </w:r>
      <w:r>
        <w:rPr>
          <w:rFonts w:hint="eastAsia"/>
        </w:rPr>
        <w:t>7</w:t>
      </w:r>
      <w:r>
        <w:t>00 mm～1200 mm，且分布均匀。</w:t>
      </w:r>
    </w:p>
    <w:p>
      <w:pPr>
        <w:pStyle w:val="110"/>
        <w:spacing w:before="156" w:after="156"/>
      </w:pPr>
      <w:bookmarkStart w:id="48" w:name="_Toc375590528"/>
      <w:r>
        <w:t>水分控制</w:t>
      </w:r>
      <w:bookmarkEnd w:id="48"/>
    </w:p>
    <w:p>
      <w:pPr>
        <w:pStyle w:val="62"/>
        <w:ind w:firstLine="420"/>
      </w:pPr>
      <w:r>
        <w:t>猕猴桃果园需水灌溉</w:t>
      </w:r>
      <w:r>
        <w:rPr>
          <w:rFonts w:hint="eastAsia"/>
        </w:rPr>
        <w:t>量为</w:t>
      </w:r>
      <w:r>
        <w:t>土壤最大持水量</w:t>
      </w:r>
      <w:r>
        <w:rPr>
          <w:rFonts w:hint="eastAsia"/>
        </w:rPr>
        <w:t>的</w:t>
      </w:r>
      <w:r>
        <w:t>65%～80%为宜。</w:t>
      </w:r>
    </w:p>
    <w:p>
      <w:pPr>
        <w:pStyle w:val="110"/>
        <w:spacing w:before="156" w:after="156"/>
      </w:pPr>
      <w:r>
        <w:t>灌溉水质</w:t>
      </w:r>
      <w:bookmarkEnd w:id="46"/>
      <w:r>
        <w:t>要求</w:t>
      </w:r>
    </w:p>
    <w:p>
      <w:pPr>
        <w:pStyle w:val="62"/>
        <w:ind w:firstLine="420"/>
      </w:pPr>
      <w:r>
        <w:t>猕猴桃果园灌溉水中各项污染物的浓度限值见表2。</w:t>
      </w:r>
    </w:p>
    <w:p>
      <w:pPr>
        <w:pStyle w:val="117"/>
        <w:spacing w:before="156" w:after="156"/>
      </w:pPr>
      <w:r>
        <w:t>猕猴桃果园灌溉水中各项污染物的浓度限值</w:t>
      </w:r>
    </w:p>
    <w:tbl>
      <w:tblPr>
        <w:tblStyle w:val="36"/>
        <w:tblW w:w="7528" w:type="dxa"/>
        <w:tblInd w:w="807" w:type="dxa"/>
        <w:tblBorders>
          <w:top w:val="single" w:color="auto" w:sz="8" w:space="0"/>
          <w:left w:val="single" w:color="auto" w:sz="8" w:space="0"/>
          <w:bottom w:val="single" w:color="auto" w:sz="8" w:space="0"/>
          <w:right w:val="single" w:color="auto" w:sz="8" w:space="0"/>
          <w:insideH w:val="single" w:color="auto" w:sz="4" w:space="0"/>
          <w:insideV w:val="single" w:color="000000" w:sz="4" w:space="0"/>
        </w:tblBorders>
        <w:tblLayout w:type="fixed"/>
        <w:tblCellMar>
          <w:top w:w="0" w:type="dxa"/>
          <w:left w:w="108" w:type="dxa"/>
          <w:bottom w:w="0" w:type="dxa"/>
          <w:right w:w="108" w:type="dxa"/>
        </w:tblCellMar>
      </w:tblPr>
      <w:tblGrid>
        <w:gridCol w:w="3391"/>
        <w:gridCol w:w="4137"/>
      </w:tblGrid>
      <w:tr>
        <w:tblPrEx>
          <w:tblBorders>
            <w:top w:val="single" w:color="auto" w:sz="8" w:space="0"/>
            <w:left w:val="single" w:color="auto" w:sz="8" w:space="0"/>
            <w:bottom w:val="single" w:color="auto" w:sz="8" w:space="0"/>
            <w:right w:val="single" w:color="auto" w:sz="8" w:space="0"/>
            <w:insideH w:val="single" w:color="auto" w:sz="4" w:space="0"/>
            <w:insideV w:val="single" w:color="000000" w:sz="4" w:space="0"/>
          </w:tblBorders>
          <w:tblLayout w:type="fixed"/>
          <w:tblCellMar>
            <w:top w:w="0" w:type="dxa"/>
            <w:left w:w="108" w:type="dxa"/>
            <w:bottom w:w="0" w:type="dxa"/>
            <w:right w:w="108" w:type="dxa"/>
          </w:tblCellMar>
        </w:tblPrEx>
        <w:trPr>
          <w:trHeight w:val="257" w:hRule="atLeast"/>
        </w:trPr>
        <w:tc>
          <w:tcPr>
            <w:tcW w:w="3391"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项目</w:t>
            </w:r>
          </w:p>
        </w:tc>
        <w:tc>
          <w:tcPr>
            <w:tcW w:w="4137"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浓度限值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000000" w:sz="4" w:space="0"/>
          </w:tblBorders>
          <w:tblLayout w:type="fixed"/>
          <w:tblCellMar>
            <w:top w:w="0" w:type="dxa"/>
            <w:left w:w="108" w:type="dxa"/>
            <w:bottom w:w="0" w:type="dxa"/>
            <w:right w:w="108" w:type="dxa"/>
          </w:tblCellMar>
        </w:tblPrEx>
        <w:trPr>
          <w:trHeight w:val="317" w:hRule="atLeast"/>
        </w:trPr>
        <w:tc>
          <w:tcPr>
            <w:tcW w:w="3391"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PH</w:t>
            </w:r>
          </w:p>
        </w:tc>
        <w:tc>
          <w:tcPr>
            <w:tcW w:w="4137"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　5.5～7.5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000000" w:sz="4" w:space="0"/>
          </w:tblBorders>
          <w:tblLayout w:type="fixed"/>
          <w:tblCellMar>
            <w:top w:w="0" w:type="dxa"/>
            <w:left w:w="108" w:type="dxa"/>
            <w:bottom w:w="0" w:type="dxa"/>
            <w:right w:w="108" w:type="dxa"/>
          </w:tblCellMar>
        </w:tblPrEx>
        <w:trPr>
          <w:trHeight w:val="317" w:hRule="atLeast"/>
        </w:trPr>
        <w:tc>
          <w:tcPr>
            <w:tcW w:w="3391"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总汞（mg/L)  ≤</w:t>
            </w:r>
          </w:p>
        </w:tc>
        <w:tc>
          <w:tcPr>
            <w:tcW w:w="4137"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　0.001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000000" w:sz="4" w:space="0"/>
          </w:tblBorders>
          <w:tblLayout w:type="fixed"/>
          <w:tblCellMar>
            <w:top w:w="0" w:type="dxa"/>
            <w:left w:w="108" w:type="dxa"/>
            <w:bottom w:w="0" w:type="dxa"/>
            <w:right w:w="108" w:type="dxa"/>
          </w:tblCellMar>
        </w:tblPrEx>
        <w:trPr>
          <w:trHeight w:val="317" w:hRule="atLeast"/>
        </w:trPr>
        <w:tc>
          <w:tcPr>
            <w:tcW w:w="3391"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总镉（mg/L)  ≤</w:t>
            </w:r>
          </w:p>
        </w:tc>
        <w:tc>
          <w:tcPr>
            <w:tcW w:w="4137"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　0.005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000000" w:sz="4" w:space="0"/>
          </w:tblBorders>
          <w:tblLayout w:type="fixed"/>
          <w:tblCellMar>
            <w:top w:w="0" w:type="dxa"/>
            <w:left w:w="108" w:type="dxa"/>
            <w:bottom w:w="0" w:type="dxa"/>
            <w:right w:w="108" w:type="dxa"/>
          </w:tblCellMar>
        </w:tblPrEx>
        <w:trPr>
          <w:trHeight w:val="317" w:hRule="atLeast"/>
        </w:trPr>
        <w:tc>
          <w:tcPr>
            <w:tcW w:w="3391"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总砷（mg/L)  ≤</w:t>
            </w:r>
          </w:p>
        </w:tc>
        <w:tc>
          <w:tcPr>
            <w:tcW w:w="4137"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　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000000" w:sz="4" w:space="0"/>
          </w:tblBorders>
          <w:tblLayout w:type="fixed"/>
          <w:tblCellMar>
            <w:top w:w="0" w:type="dxa"/>
            <w:left w:w="108" w:type="dxa"/>
            <w:bottom w:w="0" w:type="dxa"/>
            <w:right w:w="108" w:type="dxa"/>
          </w:tblCellMar>
        </w:tblPrEx>
        <w:trPr>
          <w:trHeight w:val="317" w:hRule="atLeast"/>
        </w:trPr>
        <w:tc>
          <w:tcPr>
            <w:tcW w:w="3391"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总铅（mg/L)  ≤</w:t>
            </w:r>
          </w:p>
        </w:tc>
        <w:tc>
          <w:tcPr>
            <w:tcW w:w="4137"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　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000000" w:sz="4" w:space="0"/>
          </w:tblBorders>
          <w:tblLayout w:type="fixed"/>
          <w:tblCellMar>
            <w:top w:w="0" w:type="dxa"/>
            <w:left w:w="108" w:type="dxa"/>
            <w:bottom w:w="0" w:type="dxa"/>
            <w:right w:w="108" w:type="dxa"/>
          </w:tblCellMar>
        </w:tblPrEx>
        <w:trPr>
          <w:trHeight w:val="293" w:hRule="atLeast"/>
        </w:trPr>
        <w:tc>
          <w:tcPr>
            <w:tcW w:w="3391"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氯化物（以Cl计）/（mg/L)  ≤</w:t>
            </w:r>
          </w:p>
        </w:tc>
        <w:tc>
          <w:tcPr>
            <w:tcW w:w="4137" w:type="dxa"/>
            <w:vAlign w:val="center"/>
          </w:tcPr>
          <w:p>
            <w:pPr>
              <w:pStyle w:val="246"/>
              <w:spacing w:line="340" w:lineRule="exact"/>
              <w:ind w:firstLine="0" w:firstLineChars="0"/>
              <w:jc w:val="center"/>
              <w:rPr>
                <w:rFonts w:hAnsi="宋体" w:eastAsia="宋体"/>
                <w:sz w:val="18"/>
                <w:szCs w:val="18"/>
              </w:rPr>
            </w:pPr>
            <w:r>
              <w:rPr>
                <w:rFonts w:hAnsi="宋体" w:eastAsia="宋体"/>
                <w:sz w:val="18"/>
                <w:szCs w:val="18"/>
              </w:rPr>
              <w:t>　250</w:t>
            </w:r>
          </w:p>
        </w:tc>
      </w:tr>
      <w:bookmarkEnd w:id="47"/>
    </w:tbl>
    <w:p>
      <w:pPr>
        <w:pStyle w:val="109"/>
        <w:spacing w:before="312" w:after="312"/>
        <w:rPr>
          <w:szCs w:val="21"/>
        </w:rPr>
      </w:pPr>
      <w:r>
        <w:rPr>
          <w:szCs w:val="21"/>
        </w:rPr>
        <w:t>温度</w:t>
      </w:r>
    </w:p>
    <w:p>
      <w:pPr>
        <w:pStyle w:val="62"/>
        <w:ind w:firstLine="420"/>
      </w:pPr>
      <w:bookmarkStart w:id="49" w:name="_Toc375590523"/>
      <w:r>
        <w:t>猕猴桃性喜温暖气候条件，但进入休眠期需要一定的有效低温时数。极端低温、极端高温以及春季晚霜和初冬早霜都将会对猕猴桃正常生长发育造成危害。</w:t>
      </w:r>
    </w:p>
    <w:bookmarkEnd w:id="49"/>
    <w:p>
      <w:pPr>
        <w:pStyle w:val="110"/>
        <w:spacing w:before="156" w:after="156"/>
      </w:pPr>
      <w:r>
        <w:t>需热量</w:t>
      </w:r>
    </w:p>
    <w:p>
      <w:pPr>
        <w:pStyle w:val="62"/>
        <w:ind w:firstLine="420"/>
      </w:pPr>
      <w:r>
        <w:t>年平均温度为11 ℃</w:t>
      </w:r>
      <w:r>
        <w:rPr>
          <w:rFonts w:ascii="Times New Roman"/>
        </w:rPr>
        <w:t>~</w:t>
      </w:r>
      <w:r>
        <w:t>1</w:t>
      </w:r>
      <w:r>
        <w:rPr>
          <w:rFonts w:hint="eastAsia"/>
        </w:rPr>
        <w:t>6</w:t>
      </w:r>
      <w:r>
        <w:t xml:space="preserve"> ℃之间， ≥10 ℃的年有效积温4000 ℃～5600 ℃。</w:t>
      </w:r>
    </w:p>
    <w:p>
      <w:pPr>
        <w:pStyle w:val="110"/>
        <w:spacing w:before="156" w:after="156"/>
      </w:pPr>
      <w:r>
        <w:t>需冷量</w:t>
      </w:r>
    </w:p>
    <w:p>
      <w:pPr>
        <w:pStyle w:val="62"/>
        <w:ind w:firstLine="420"/>
      </w:pPr>
      <w:r>
        <w:t>气温小于7.2 ℃的有效低温时数：美味猕猴桃不小于1008 h，中华系列猕猴桃不小于672 h（4周）。</w:t>
      </w:r>
    </w:p>
    <w:p>
      <w:pPr>
        <w:pStyle w:val="110"/>
        <w:spacing w:before="156" w:after="156"/>
      </w:pPr>
      <w:r>
        <w:t>最低气温</w:t>
      </w:r>
    </w:p>
    <w:p>
      <w:pPr>
        <w:pStyle w:val="62"/>
        <w:ind w:firstLine="420"/>
      </w:pPr>
      <w:r>
        <w:rPr>
          <w:rFonts w:hint="eastAsia"/>
        </w:rPr>
        <w:t>越冬</w:t>
      </w:r>
      <w:r>
        <w:t>极端最低气温：美味猕猴桃不低于-15 ℃，中华猕猴桃不低于-10 ℃。</w:t>
      </w:r>
    </w:p>
    <w:p>
      <w:pPr>
        <w:pStyle w:val="110"/>
        <w:spacing w:before="156" w:after="156"/>
      </w:pPr>
      <w:r>
        <w:t>最高气温</w:t>
      </w:r>
    </w:p>
    <w:p>
      <w:pPr>
        <w:pStyle w:val="62"/>
        <w:ind w:firstLine="420"/>
      </w:pPr>
      <w:r>
        <w:rPr>
          <w:rFonts w:hint="eastAsia"/>
        </w:rPr>
        <w:t>越夏</w:t>
      </w:r>
      <w:r>
        <w:t>极端最高温度为42 ℃，大于35 ℃持续天数不大于12 d。</w:t>
      </w:r>
    </w:p>
    <w:p>
      <w:pPr>
        <w:pStyle w:val="110"/>
        <w:spacing w:before="156" w:after="156"/>
      </w:pPr>
      <w:r>
        <w:t>无霜期</w:t>
      </w:r>
    </w:p>
    <w:p>
      <w:pPr>
        <w:pStyle w:val="62"/>
        <w:ind w:firstLine="420"/>
      </w:pPr>
      <w:r>
        <w:t xml:space="preserve">无霜期要求在220 </w:t>
      </w:r>
      <w:r>
        <w:rPr>
          <w:rFonts w:hint="eastAsia"/>
        </w:rPr>
        <w:t>d</w:t>
      </w:r>
      <w:r>
        <w:rPr>
          <w:rFonts w:ascii="Times New Roman"/>
        </w:rPr>
        <w:t>~</w:t>
      </w:r>
      <w:r>
        <w:t>2</w:t>
      </w:r>
      <w:r>
        <w:rPr>
          <w:rFonts w:hint="eastAsia"/>
        </w:rPr>
        <w:t>6</w:t>
      </w:r>
      <w:r>
        <w:t xml:space="preserve">0 </w:t>
      </w:r>
      <w:r>
        <w:rPr>
          <w:rFonts w:hint="eastAsia"/>
        </w:rPr>
        <w:t>d</w:t>
      </w:r>
      <w:r>
        <w:t>之间。</w:t>
      </w:r>
    </w:p>
    <w:p>
      <w:pPr>
        <w:pStyle w:val="109"/>
        <w:spacing w:before="312" w:after="312"/>
        <w:rPr>
          <w:szCs w:val="21"/>
        </w:rPr>
      </w:pPr>
      <w:bookmarkStart w:id="50" w:name="_Toc375590525"/>
      <w:r>
        <w:rPr>
          <w:szCs w:val="21"/>
        </w:rPr>
        <w:t>光照</w:t>
      </w:r>
      <w:bookmarkEnd w:id="50"/>
    </w:p>
    <w:p>
      <w:pPr>
        <w:pStyle w:val="110"/>
        <w:spacing w:before="156" w:after="156"/>
      </w:pPr>
      <w:r>
        <w:t>年日照时数</w:t>
      </w:r>
    </w:p>
    <w:p>
      <w:pPr>
        <w:pStyle w:val="62"/>
        <w:ind w:firstLine="420"/>
      </w:pPr>
      <w:r>
        <w:t>年日照时数应在1</w:t>
      </w:r>
      <w:r>
        <w:rPr>
          <w:rFonts w:hint="eastAsia"/>
        </w:rPr>
        <w:t>5</w:t>
      </w:r>
      <w:r>
        <w:t>00 h～2600 h之间</w:t>
      </w:r>
      <w:r>
        <w:rPr>
          <w:rFonts w:hint="eastAsia"/>
        </w:rPr>
        <w:t>为</w:t>
      </w:r>
      <w:r>
        <w:t>宜。</w:t>
      </w:r>
    </w:p>
    <w:p>
      <w:pPr>
        <w:pStyle w:val="110"/>
        <w:spacing w:before="156" w:after="156"/>
      </w:pPr>
      <w:r>
        <w:t>光照强度</w:t>
      </w:r>
    </w:p>
    <w:p>
      <w:pPr>
        <w:pStyle w:val="62"/>
        <w:ind w:firstLine="420"/>
      </w:pPr>
      <w:r>
        <w:t>猕猴桃忌强光照直射。成龄猕猴桃夏季持续35 ℃以上的高温强光直射</w:t>
      </w:r>
      <w:r>
        <w:rPr>
          <w:rFonts w:hint="eastAsia"/>
        </w:rPr>
        <w:t>下，</w:t>
      </w:r>
      <w:r>
        <w:t>会对猕猴桃果实和叶片造成</w:t>
      </w:r>
      <w:r>
        <w:rPr>
          <w:rFonts w:hint="eastAsia"/>
        </w:rPr>
        <w:t>“日灼”</w:t>
      </w:r>
      <w:r>
        <w:t>危害。</w:t>
      </w:r>
      <w:bookmarkStart w:id="51" w:name="_Toc375590536"/>
    </w:p>
    <w:bookmarkEnd w:id="51"/>
    <w:p>
      <w:pPr>
        <w:pStyle w:val="109"/>
        <w:spacing w:before="312" w:after="312"/>
        <w:rPr>
          <w:szCs w:val="21"/>
        </w:rPr>
      </w:pPr>
      <w:bookmarkStart w:id="52" w:name="_Toc375590530"/>
      <w:r>
        <w:rPr>
          <w:szCs w:val="21"/>
        </w:rPr>
        <w:t>土壤</w:t>
      </w:r>
      <w:bookmarkEnd w:id="52"/>
    </w:p>
    <w:p>
      <w:pPr>
        <w:pStyle w:val="62"/>
        <w:ind w:firstLine="420"/>
      </w:pPr>
      <w:bookmarkStart w:id="53" w:name="_Toc375590531"/>
      <w:r>
        <w:t>猕猴桃是肉质根，喜土层深厚、土质疏松、有机质含量高的中性或微酸性土壤。耕作土层深度</w:t>
      </w:r>
      <w:r>
        <w:rPr>
          <w:rFonts w:hint="eastAsia"/>
        </w:rPr>
        <w:t>6</w:t>
      </w:r>
      <w:r>
        <w:t>0 cm以上，土壤有机质含量1.0%以上，地下水位应在2</w:t>
      </w:r>
      <w:r>
        <w:rPr>
          <w:rFonts w:hint="eastAsia"/>
        </w:rPr>
        <w:t xml:space="preserve"> </w:t>
      </w:r>
      <w:r>
        <w:t>m以下，疏松透气、排水良好，土壤种类以轻壤土、中壤土或砂壤土为好。粘土和砂土地建园时应进行土壤改良。</w:t>
      </w:r>
    </w:p>
    <w:p>
      <w:pPr>
        <w:pStyle w:val="110"/>
        <w:spacing w:before="156" w:after="156"/>
      </w:pPr>
      <w:r>
        <w:t>土壤</w:t>
      </w:r>
      <w:bookmarkEnd w:id="53"/>
      <w:r>
        <w:t>PH值</w:t>
      </w:r>
    </w:p>
    <w:p>
      <w:pPr>
        <w:pStyle w:val="62"/>
        <w:ind w:firstLine="420"/>
      </w:pPr>
      <w:r>
        <w:t>土壤耕作层深厚、透气、排水良好、pH值6.5</w:t>
      </w:r>
      <w:r>
        <w:rPr>
          <w:rFonts w:ascii="Times New Roman"/>
        </w:rPr>
        <w:t>~</w:t>
      </w:r>
      <w:r>
        <w:t>7.5的</w:t>
      </w:r>
      <w:r>
        <w:rPr>
          <w:rFonts w:hint="eastAsia"/>
        </w:rPr>
        <w:t>中性或</w:t>
      </w:r>
      <w:r>
        <w:t>微酸性土壤。</w:t>
      </w:r>
    </w:p>
    <w:p>
      <w:pPr>
        <w:pStyle w:val="110"/>
        <w:spacing w:before="156" w:after="156"/>
      </w:pPr>
      <w:bookmarkStart w:id="54" w:name="_Toc375590533"/>
      <w:r>
        <w:t>土壤肥力</w:t>
      </w:r>
    </w:p>
    <w:p>
      <w:pPr>
        <w:pStyle w:val="62"/>
        <w:ind w:firstLine="420"/>
      </w:pPr>
      <w:r>
        <w:t>土壤肥力应达到一级和二级水平，具体分级指标见表3。</w:t>
      </w:r>
    </w:p>
    <w:p>
      <w:pPr>
        <w:pStyle w:val="117"/>
        <w:spacing w:before="156" w:after="156"/>
      </w:pPr>
      <w:r>
        <w:t>猕猴桃土壤肥力分级推荐指标</w:t>
      </w:r>
    </w:p>
    <w:tbl>
      <w:tblPr>
        <w:tblStyle w:val="36"/>
        <w:tblW w:w="839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84"/>
        <w:gridCol w:w="1842"/>
        <w:gridCol w:w="1843"/>
        <w:gridCol w:w="193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0" w:hRule="atLeast"/>
          <w:jc w:val="center"/>
        </w:trPr>
        <w:tc>
          <w:tcPr>
            <w:tcW w:w="2784"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项目</w:t>
            </w:r>
          </w:p>
        </w:tc>
        <w:tc>
          <w:tcPr>
            <w:tcW w:w="1842"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一级</w:t>
            </w:r>
          </w:p>
        </w:tc>
        <w:tc>
          <w:tcPr>
            <w:tcW w:w="1843"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二级</w:t>
            </w:r>
          </w:p>
        </w:tc>
        <w:tc>
          <w:tcPr>
            <w:tcW w:w="1930"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三级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84" w:type="dxa"/>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有机质（%）</w:t>
            </w:r>
          </w:p>
        </w:tc>
        <w:tc>
          <w:tcPr>
            <w:tcW w:w="1842" w:type="dxa"/>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&gt;2.0</w:t>
            </w:r>
          </w:p>
        </w:tc>
        <w:tc>
          <w:tcPr>
            <w:tcW w:w="1843" w:type="dxa"/>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1.0～2.0</w:t>
            </w:r>
          </w:p>
        </w:tc>
        <w:tc>
          <w:tcPr>
            <w:tcW w:w="1930" w:type="dxa"/>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&lt;1.0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84" w:type="dxa"/>
            <w:tcBorders>
              <w:bottom w:val="single" w:color="auto" w:sz="4"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速效氮（mg/kg）</w:t>
            </w:r>
          </w:p>
        </w:tc>
        <w:tc>
          <w:tcPr>
            <w:tcW w:w="1842" w:type="dxa"/>
            <w:tcBorders>
              <w:bottom w:val="single" w:color="auto" w:sz="4"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&gt;120</w:t>
            </w:r>
          </w:p>
        </w:tc>
        <w:tc>
          <w:tcPr>
            <w:tcW w:w="1843" w:type="dxa"/>
            <w:tcBorders>
              <w:bottom w:val="single" w:color="auto" w:sz="4"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 xml:space="preserve"> 90～120</w:t>
            </w:r>
          </w:p>
        </w:tc>
        <w:tc>
          <w:tcPr>
            <w:tcW w:w="1930" w:type="dxa"/>
            <w:tcBorders>
              <w:bottom w:val="single" w:color="auto" w:sz="4"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&lt;90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84" w:type="dxa"/>
            <w:tcBorders>
              <w:top w:val="single" w:color="auto" w:sz="4" w:space="0"/>
              <w:bottom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速效磷（mg/kg）</w:t>
            </w:r>
          </w:p>
        </w:tc>
        <w:tc>
          <w:tcPr>
            <w:tcW w:w="1842" w:type="dxa"/>
            <w:tcBorders>
              <w:top w:val="single" w:color="auto" w:sz="4" w:space="0"/>
              <w:bottom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&gt;40</w:t>
            </w:r>
          </w:p>
        </w:tc>
        <w:tc>
          <w:tcPr>
            <w:tcW w:w="1843" w:type="dxa"/>
            <w:tcBorders>
              <w:top w:val="single" w:color="auto" w:sz="4" w:space="0"/>
              <w:bottom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10～40</w:t>
            </w:r>
          </w:p>
        </w:tc>
        <w:tc>
          <w:tcPr>
            <w:tcW w:w="1930" w:type="dxa"/>
            <w:tcBorders>
              <w:top w:val="single" w:color="auto" w:sz="4" w:space="0"/>
              <w:bottom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&lt;10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2784" w:type="dxa"/>
            <w:tcBorders>
              <w:top w:val="single" w:color="auto" w:sz="8" w:space="0"/>
              <w:bottom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速效钾（mg/kg）</w:t>
            </w:r>
          </w:p>
        </w:tc>
        <w:tc>
          <w:tcPr>
            <w:tcW w:w="1842" w:type="dxa"/>
            <w:tcBorders>
              <w:top w:val="single" w:color="auto" w:sz="8" w:space="0"/>
              <w:bottom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&gt;150</w:t>
            </w:r>
          </w:p>
        </w:tc>
        <w:tc>
          <w:tcPr>
            <w:tcW w:w="1843" w:type="dxa"/>
            <w:tcBorders>
              <w:top w:val="single" w:color="auto" w:sz="8" w:space="0"/>
              <w:bottom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100～150</w:t>
            </w:r>
          </w:p>
        </w:tc>
        <w:tc>
          <w:tcPr>
            <w:tcW w:w="1930" w:type="dxa"/>
            <w:tcBorders>
              <w:top w:val="single" w:color="auto" w:sz="8" w:space="0"/>
              <w:bottom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&lt;100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2784"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阳离子交换量 （cmol/kg）</w:t>
            </w:r>
          </w:p>
        </w:tc>
        <w:tc>
          <w:tcPr>
            <w:tcW w:w="1842"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&gt;20</w:t>
            </w:r>
          </w:p>
        </w:tc>
        <w:tc>
          <w:tcPr>
            <w:tcW w:w="1843"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15～20</w:t>
            </w:r>
          </w:p>
        </w:tc>
        <w:tc>
          <w:tcPr>
            <w:tcW w:w="1930"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&lt;15</w:t>
            </w:r>
          </w:p>
        </w:tc>
      </w:tr>
    </w:tbl>
    <w:p>
      <w:pPr>
        <w:pStyle w:val="110"/>
        <w:spacing w:before="156" w:after="156"/>
      </w:pPr>
      <w:r>
        <w:t>8.3  土壤污染物限量指标</w:t>
      </w:r>
      <w:bookmarkEnd w:id="54"/>
    </w:p>
    <w:p>
      <w:pPr>
        <w:pStyle w:val="62"/>
        <w:ind w:firstLine="420"/>
      </w:pPr>
      <w:r>
        <w:t>土壤环境质量应符合GB 15618的二级以上标准，猕猴桃土壤主要无机污染物限量指标见表4。</w:t>
      </w:r>
    </w:p>
    <w:p>
      <w:pPr>
        <w:pStyle w:val="117"/>
        <w:spacing w:before="156" w:after="156"/>
      </w:pPr>
      <w:r>
        <w:t>猕猴桃土壤主要无机污染物限量指标</w:t>
      </w:r>
    </w:p>
    <w:tbl>
      <w:tblPr>
        <w:tblStyle w:val="36"/>
        <w:tblW w:w="845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669"/>
        <w:gridCol w:w="578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69"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项目</w:t>
            </w:r>
          </w:p>
        </w:tc>
        <w:tc>
          <w:tcPr>
            <w:tcW w:w="5784" w:type="dxa"/>
            <w:tcBorders>
              <w:top w:val="single" w:color="auto" w:sz="8" w:space="0"/>
              <w:bottom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含量限值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69" w:type="dxa"/>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PH值</w:t>
            </w:r>
          </w:p>
        </w:tc>
        <w:tc>
          <w:tcPr>
            <w:tcW w:w="5784"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6.5～7.5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69" w:type="dxa"/>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总汞（mg/kg) ≤</w:t>
            </w:r>
          </w:p>
        </w:tc>
        <w:tc>
          <w:tcPr>
            <w:tcW w:w="5784" w:type="dxa"/>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0.25～0.3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69" w:type="dxa"/>
            <w:tcBorders>
              <w:bottom w:val="single" w:color="auto" w:sz="4"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总镉（mg/kg) ≤</w:t>
            </w:r>
          </w:p>
        </w:tc>
        <w:tc>
          <w:tcPr>
            <w:tcW w:w="5784" w:type="dxa"/>
            <w:tcBorders>
              <w:bottom w:val="single" w:color="auto" w:sz="4"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69" w:type="dxa"/>
            <w:tcBorders>
              <w:top w:val="single" w:color="auto" w:sz="4" w:space="0"/>
              <w:bottom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总砷（mg/kg) ≤</w:t>
            </w:r>
          </w:p>
        </w:tc>
        <w:tc>
          <w:tcPr>
            <w:tcW w:w="5784" w:type="dxa"/>
            <w:tcBorders>
              <w:top w:val="single" w:color="auto" w:sz="4" w:space="0"/>
              <w:bottom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25～30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2669"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 xml:space="preserve">总铅（mg/kg) ≤                   </w:t>
            </w:r>
          </w:p>
        </w:tc>
        <w:tc>
          <w:tcPr>
            <w:tcW w:w="5784" w:type="dxa"/>
            <w:tcBorders>
              <w:top w:val="single" w:color="auto" w:sz="8" w:space="0"/>
            </w:tcBorders>
            <w:vAlign w:val="center"/>
          </w:tcPr>
          <w:p>
            <w:pPr>
              <w:pStyle w:val="246"/>
              <w:spacing w:line="360" w:lineRule="exact"/>
              <w:ind w:firstLine="0" w:firstLineChars="0"/>
              <w:jc w:val="center"/>
              <w:rPr>
                <w:rFonts w:hAnsi="宋体" w:eastAsia="宋体"/>
                <w:sz w:val="18"/>
                <w:szCs w:val="18"/>
              </w:rPr>
            </w:pPr>
            <w:r>
              <w:rPr>
                <w:rFonts w:hAnsi="宋体" w:eastAsia="宋体"/>
                <w:sz w:val="18"/>
                <w:szCs w:val="18"/>
              </w:rPr>
              <w:t>50～300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8453" w:type="dxa"/>
            <w:gridSpan w:val="2"/>
            <w:vAlign w:val="center"/>
          </w:tcPr>
          <w:p>
            <w:pPr>
              <w:pStyle w:val="246"/>
              <w:spacing w:line="360" w:lineRule="exact"/>
              <w:ind w:firstLine="0" w:firstLineChars="0"/>
              <w:jc w:val="left"/>
              <w:rPr>
                <w:rFonts w:hAnsi="宋体" w:eastAsia="宋体"/>
                <w:sz w:val="18"/>
                <w:szCs w:val="18"/>
              </w:rPr>
            </w:pPr>
            <w:r>
              <w:rPr>
                <w:rFonts w:hAnsi="宋体" w:eastAsia="宋体"/>
                <w:sz w:val="18"/>
                <w:szCs w:val="18"/>
              </w:rPr>
              <w:t>注：本表所列含量限值适用于阳离子交换量＞5 cmol/kg的土壤，若≤5 cmol/kg，其含量限值为表内数值的半倍。</w:t>
            </w:r>
          </w:p>
        </w:tc>
      </w:tr>
    </w:tbl>
    <w:p>
      <w:pPr>
        <w:pStyle w:val="109"/>
        <w:spacing w:before="312" w:after="312"/>
        <w:rPr>
          <w:szCs w:val="21"/>
        </w:rPr>
      </w:pPr>
      <w:r>
        <w:rPr>
          <w:szCs w:val="21"/>
        </w:rPr>
        <w:t>立地条件</w:t>
      </w:r>
    </w:p>
    <w:p>
      <w:pPr>
        <w:pStyle w:val="110"/>
        <w:spacing w:before="156" w:after="156"/>
      </w:pPr>
      <w:r>
        <w:t>平地或缓坡地</w:t>
      </w:r>
    </w:p>
    <w:p>
      <w:pPr>
        <w:pStyle w:val="62"/>
        <w:ind w:firstLine="420"/>
      </w:pPr>
      <w:r>
        <w:t>平地或坡度＜10°的缓坡地，海拔400 m</w:t>
      </w:r>
      <w:r>
        <w:rPr>
          <w:rFonts w:ascii="Times New Roman"/>
        </w:rPr>
        <w:t>~</w:t>
      </w:r>
      <w:r>
        <w:rPr>
          <w:rFonts w:hint="eastAsia"/>
        </w:rPr>
        <w:t>70</w:t>
      </w:r>
      <w:r>
        <w:t>0 m之间，对不规则地块及特殊地貌适当整理为顺排水方向的平地或斜坡地。</w:t>
      </w:r>
    </w:p>
    <w:p>
      <w:pPr>
        <w:pStyle w:val="110"/>
        <w:spacing w:before="156" w:after="156"/>
      </w:pPr>
      <w:r>
        <w:t>山坡地</w:t>
      </w:r>
    </w:p>
    <w:p>
      <w:pPr>
        <w:pStyle w:val="62"/>
        <w:ind w:firstLine="420"/>
      </w:pPr>
      <w:r>
        <w:t>宜选择海拔</w:t>
      </w:r>
      <w:r>
        <w:rPr>
          <w:rFonts w:hint="eastAsia"/>
        </w:rPr>
        <w:t>6</w:t>
      </w:r>
      <w:r>
        <w:t>00 m</w:t>
      </w:r>
      <w:r>
        <w:rPr>
          <w:rFonts w:ascii="Times New Roman"/>
        </w:rPr>
        <w:t>~</w:t>
      </w:r>
      <w:r>
        <w:t xml:space="preserve">1000 m之间、坡度 ≤ </w:t>
      </w:r>
      <w:r>
        <w:rPr>
          <w:rFonts w:hint="eastAsia"/>
        </w:rPr>
        <w:t>35</w:t>
      </w:r>
      <w:r>
        <w:t>°、背风向阳</w:t>
      </w:r>
      <w:r>
        <w:rPr>
          <w:rFonts w:hint="eastAsia"/>
        </w:rPr>
        <w:t>，坡向以早阳坡和晚阳坡为宜</w:t>
      </w:r>
      <w:r>
        <w:t>。坡面整齐不破碎，道路和排水灌溉施工方便</w:t>
      </w:r>
      <w:r>
        <w:rPr>
          <w:rFonts w:hint="eastAsia"/>
        </w:rPr>
        <w:t>。</w:t>
      </w:r>
    </w:p>
    <w:p>
      <w:pPr>
        <w:pStyle w:val="110"/>
        <w:spacing w:before="156" w:after="156"/>
      </w:pPr>
      <w:r>
        <w:t>不宜种植地块</w:t>
      </w:r>
    </w:p>
    <w:p>
      <w:pPr>
        <w:pStyle w:val="62"/>
        <w:ind w:firstLine="420"/>
      </w:pPr>
      <w:r>
        <w:rPr>
          <w:rFonts w:hint="eastAsia"/>
        </w:rPr>
        <w:t>——</w:t>
      </w:r>
      <w:r>
        <w:t xml:space="preserve">低凹地、地下水位高于2 m、下有涝积及冷浸田地块； </w:t>
      </w:r>
    </w:p>
    <w:p>
      <w:pPr>
        <w:pStyle w:val="62"/>
        <w:ind w:firstLine="420"/>
      </w:pPr>
      <w:r>
        <w:rPr>
          <w:rFonts w:hint="eastAsia"/>
        </w:rPr>
        <w:t>——</w:t>
      </w:r>
      <w:r>
        <w:t>海拔高于1000 m的高山、坡度＞40°的陡坡地块；</w:t>
      </w:r>
    </w:p>
    <w:p>
      <w:pPr>
        <w:pStyle w:val="62"/>
        <w:ind w:firstLine="420"/>
      </w:pPr>
      <w:r>
        <w:rPr>
          <w:rFonts w:hint="eastAsia"/>
        </w:rPr>
        <w:t>——</w:t>
      </w:r>
      <w:r>
        <w:t>土壤pH值高于8.0的碱性土壤或PH低于6.0的酸性土壤；</w:t>
      </w:r>
    </w:p>
    <w:p>
      <w:pPr>
        <w:pStyle w:val="62"/>
        <w:ind w:firstLine="420"/>
      </w:pPr>
      <w:r>
        <w:rPr>
          <w:rFonts w:hint="eastAsia"/>
        </w:rPr>
        <w:t>——土层小于40 cm、土质</w:t>
      </w:r>
      <w:r>
        <w:t>粘性过重、透气性差及砂砾过大的土壤；</w:t>
      </w:r>
    </w:p>
    <w:p>
      <w:pPr>
        <w:pStyle w:val="62"/>
        <w:ind w:firstLine="420"/>
      </w:pPr>
      <w:r>
        <w:rPr>
          <w:rFonts w:hint="eastAsia"/>
        </w:rPr>
        <w:t>——</w:t>
      </w:r>
      <w:r>
        <w:t>没有灌溉条件的旱坡地块；</w:t>
      </w:r>
    </w:p>
    <w:p>
      <w:pPr>
        <w:pStyle w:val="62"/>
        <w:ind w:firstLine="420"/>
      </w:pPr>
      <w:r>
        <w:rPr>
          <w:rFonts w:hint="eastAsia"/>
        </w:rPr>
        <w:t>——</w:t>
      </w:r>
      <w:r>
        <w:t>沿山的风口地带。</w:t>
      </w:r>
    </w:p>
    <w:p>
      <w:pPr>
        <w:pStyle w:val="109"/>
        <w:spacing w:before="312" w:after="312"/>
        <w:rPr>
          <w:szCs w:val="21"/>
        </w:rPr>
      </w:pPr>
      <w:r>
        <w:rPr>
          <w:szCs w:val="21"/>
        </w:rPr>
        <w:t>风</w:t>
      </w:r>
    </w:p>
    <w:p>
      <w:pPr>
        <w:pStyle w:val="62"/>
        <w:ind w:firstLine="420"/>
      </w:pPr>
      <w:r>
        <w:t>猕猴桃</w:t>
      </w:r>
      <w:r>
        <w:rPr>
          <w:rFonts w:hint="eastAsia"/>
        </w:rPr>
        <w:t>规划种植</w:t>
      </w:r>
      <w:r>
        <w:t>区</w:t>
      </w:r>
      <w:r>
        <w:rPr>
          <w:rFonts w:hint="eastAsia"/>
        </w:rPr>
        <w:t>，最大</w:t>
      </w:r>
      <w:r>
        <w:t>风速应小于10 m/s</w:t>
      </w:r>
      <w:r>
        <w:rPr>
          <w:rFonts w:hint="eastAsia"/>
        </w:rPr>
        <w:t>，否则，需要防风设施条件保障。</w:t>
      </w:r>
    </w:p>
    <w:p>
      <w:pPr>
        <w:pStyle w:val="62"/>
        <w:ind w:firstLine="0" w:firstLineChars="0"/>
        <w:jc w:val="center"/>
      </w:pPr>
      <w:r>
        <w:drawing>
          <wp:inline distT="0" distB="0" distL="0" distR="0">
            <wp:extent cx="1485900" cy="317500"/>
            <wp:effectExtent l="0" t="0" r="0" b="6350"/>
            <wp:docPr id="5"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1029"/>
                    <pic:cNvPicPr>
                      <a:picLocks noChangeAspect="1"/>
                    </pic:cNvPicPr>
                  </pic:nvPicPr>
                  <pic:blipFill>
                    <a:blip r:embed="rId14"/>
                    <a:stretch>
                      <a:fillRect/>
                    </a:stretch>
                  </pic:blipFill>
                  <pic:spPr>
                    <a:xfrm>
                      <a:off x="0" y="0"/>
                      <a:ext cx="1485900" cy="317500"/>
                    </a:xfrm>
                    <a:prstGeom prst="rect">
                      <a:avLst/>
                    </a:prstGeom>
                  </pic:spPr>
                </pic:pic>
              </a:graphicData>
            </a:graphic>
          </wp:inline>
        </w:drawing>
      </w:r>
      <w:bookmarkEnd w:id="21"/>
      <w:bookmarkEnd w:id="44"/>
    </w:p>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CE3222E"/>
    <w:multiLevelType w:val="multilevel"/>
    <w:tmpl w:val="0CE3222E"/>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FC91163"/>
    <w:multiLevelType w:val="multilevel"/>
    <w:tmpl w:val="1FC91163"/>
    <w:lvl w:ilvl="0" w:tentative="0">
      <w:start w:val="1"/>
      <w:numFmt w:val="decimal"/>
      <w:pStyle w:val="248"/>
      <w:suff w:val="nothing"/>
      <w:lvlText w:val="%1　"/>
      <w:lvlJc w:val="left"/>
      <w:pPr>
        <w:ind w:left="1843"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6">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4">
    <w:nsid w:val="45EE0BEA"/>
    <w:multiLevelType w:val="multilevel"/>
    <w:tmpl w:val="45EE0BEA"/>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color w:val="auto"/>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shadow/>
        <w:vanish w:val="0"/>
        <w:color w:val="000000"/>
        <w:spacing w:val="0"/>
        <w:kern w:val="0"/>
        <w:position w:val="0"/>
        <w:sz w:val="21"/>
        <w:u w:val="none"/>
        <w:vertAlign w:val="baseline"/>
        <w14:shadow w14:blurRad="0" w14:dist="0" w14:dir="0" w14:sx="0" w14:sy="0" w14:kx="0" w14:ky="0" w14:algn="none">
          <w14:srgbClr w14:val="000000"/>
        </w14:shadow>
      </w:rPr>
    </w:lvl>
    <w:lvl w:ilvl="3" w:tentative="0">
      <w:start w:val="1"/>
      <w:numFmt w:val="decimal"/>
      <w:pStyle w:val="71"/>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47CC2E21"/>
    <w:multiLevelType w:val="multilevel"/>
    <w:tmpl w:val="47CC2E21"/>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0">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2AB76A8"/>
    <w:multiLevelType w:val="multilevel"/>
    <w:tmpl w:val="62AB76A8"/>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6">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7">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9">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4"/>
  </w:num>
  <w:num w:numId="2">
    <w:abstractNumId w:val="24"/>
  </w:num>
  <w:num w:numId="3">
    <w:abstractNumId w:val="29"/>
  </w:num>
  <w:num w:numId="4">
    <w:abstractNumId w:val="9"/>
  </w:num>
  <w:num w:numId="5">
    <w:abstractNumId w:val="11"/>
  </w:num>
  <w:num w:numId="6">
    <w:abstractNumId w:val="15"/>
  </w:num>
  <w:num w:numId="7">
    <w:abstractNumId w:val="22"/>
  </w:num>
  <w:num w:numId="8">
    <w:abstractNumId w:val="25"/>
  </w:num>
  <w:num w:numId="9">
    <w:abstractNumId w:val="20"/>
  </w:num>
  <w:num w:numId="10">
    <w:abstractNumId w:val="17"/>
  </w:num>
  <w:num w:numId="11">
    <w:abstractNumId w:val="1"/>
  </w:num>
  <w:num w:numId="12">
    <w:abstractNumId w:val="23"/>
  </w:num>
  <w:num w:numId="13">
    <w:abstractNumId w:val="2"/>
  </w:num>
  <w:num w:numId="14">
    <w:abstractNumId w:val="21"/>
  </w:num>
  <w:num w:numId="15">
    <w:abstractNumId w:val="16"/>
  </w:num>
  <w:num w:numId="16">
    <w:abstractNumId w:val="4"/>
  </w:num>
  <w:num w:numId="17">
    <w:abstractNumId w:val="13"/>
  </w:num>
  <w:num w:numId="18">
    <w:abstractNumId w:val="18"/>
  </w:num>
  <w:num w:numId="19">
    <w:abstractNumId w:val="12"/>
  </w:num>
  <w:num w:numId="20">
    <w:abstractNumId w:val="10"/>
  </w:num>
  <w:num w:numId="21">
    <w:abstractNumId w:val="28"/>
  </w:num>
  <w:num w:numId="22">
    <w:abstractNumId w:val="19"/>
  </w:num>
  <w:num w:numId="23">
    <w:abstractNumId w:val="8"/>
  </w:num>
  <w:num w:numId="24">
    <w:abstractNumId w:val="6"/>
  </w:num>
  <w:num w:numId="25">
    <w:abstractNumId w:val="30"/>
  </w:num>
  <w:num w:numId="26">
    <w:abstractNumId w:val="0"/>
  </w:num>
  <w:num w:numId="27">
    <w:abstractNumId w:val="26"/>
  </w:num>
  <w:num w:numId="28">
    <w:abstractNumId w:val="7"/>
  </w:num>
  <w:num w:numId="29">
    <w:abstractNumId w:val="5"/>
  </w:num>
  <w:num w:numId="30">
    <w:abstractNumId w:val="27"/>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41EA6"/>
    <w:rsid w:val="00143A33"/>
    <w:rsid w:val="001D19C6"/>
    <w:rsid w:val="00337A1C"/>
    <w:rsid w:val="0056374B"/>
    <w:rsid w:val="00755857"/>
    <w:rsid w:val="00810E40"/>
    <w:rsid w:val="009C2EE3"/>
    <w:rsid w:val="00A215C8"/>
    <w:rsid w:val="00B9667C"/>
    <w:rsid w:val="00C1442C"/>
    <w:rsid w:val="00CD4841"/>
    <w:rsid w:val="00CE1FA7"/>
    <w:rsid w:val="00D474BF"/>
    <w:rsid w:val="00EC6626"/>
    <w:rsid w:val="18116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36">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99"/>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99"/>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9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uiPriority w:val="0"/>
    <w:rPr>
      <w:rFonts w:ascii="Arial" w:hAnsi="Arial" w:eastAsia="黑体" w:cs="Times New Roman"/>
      <w:b/>
      <w:bCs/>
      <w:sz w:val="32"/>
      <w:szCs w:val="32"/>
    </w:rPr>
  </w:style>
  <w:style w:type="character" w:customStyle="1" w:styleId="40">
    <w:name w:val="标题 3 字符"/>
    <w:basedOn w:val="29"/>
    <w:link w:val="4"/>
    <w:qFormat/>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qFormat/>
    <w:uiPriority w:val="0"/>
    <w:rPr>
      <w:rFonts w:ascii="Calibri" w:hAnsi="Calibri" w:eastAsia="宋体" w:cs="Times New Roman"/>
      <w:b/>
      <w:bCs/>
      <w:sz w:val="28"/>
      <w:szCs w:val="28"/>
    </w:rPr>
  </w:style>
  <w:style w:type="character" w:customStyle="1" w:styleId="43">
    <w:name w:val="标题 6 字符"/>
    <w:basedOn w:val="29"/>
    <w:link w:val="7"/>
    <w:qFormat/>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99"/>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qFormat/>
    <w:uiPriority w:val="99"/>
    <w:rPr>
      <w:rFonts w:ascii="Calibri" w:hAnsi="Calibri" w:eastAsia="宋体" w:cs="Times New Roman"/>
      <w:sz w:val="18"/>
      <w:szCs w:val="18"/>
    </w:rPr>
  </w:style>
  <w:style w:type="character" w:customStyle="1" w:styleId="51">
    <w:name w:val="脚注文本 字符"/>
    <w:basedOn w:val="29"/>
    <w:link w:val="23"/>
    <w:semiHidden/>
    <w:qFormat/>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numPr>
        <w:ilvl w:val="3"/>
        <w:numId w:val="1"/>
      </w:numPr>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2"/>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3"/>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5"/>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6"/>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8"/>
      </w:numPr>
      <w:adjustRightInd w:val="0"/>
      <w:snapToGrid w:val="0"/>
      <w:ind w:firstLine="200" w:firstLineChars="20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9"/>
      </w:numPr>
    </w:pPr>
  </w:style>
  <w:style w:type="paragraph" w:customStyle="1" w:styleId="99">
    <w:name w:val="标准文件_三级条标题"/>
    <w:basedOn w:val="7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0"/>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numPr>
        <w:ilvl w:val="5"/>
        <w:numId w:val="1"/>
      </w:numPr>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numPr>
        <w:ilvl w:val="0"/>
        <w:numId w:val="11"/>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numPr>
        <w:ilvl w:val="6"/>
        <w:numId w:val="1"/>
      </w:numPr>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numPr>
        <w:ilvl w:val="1"/>
        <w:numId w:val="1"/>
      </w:num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2"/>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5"/>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6"/>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7"/>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8"/>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9"/>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20"/>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9"/>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9"/>
      </w:numPr>
      <w:adjustRightInd/>
    </w:pPr>
    <w:rPr>
      <w:szCs w:val="24"/>
    </w:rPr>
  </w:style>
  <w:style w:type="paragraph" w:customStyle="1" w:styleId="164">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21"/>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22"/>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3"/>
      </w:numPr>
      <w:spacing w:line="300" w:lineRule="auto"/>
    </w:pPr>
    <w:rPr>
      <w:rFonts w:ascii="Times New Roman" w:hAnsi="Times New Roman"/>
    </w:rPr>
  </w:style>
  <w:style w:type="paragraph" w:customStyle="1" w:styleId="178">
    <w:name w:val="图表脚注说明"/>
    <w:basedOn w:val="1"/>
    <w:qFormat/>
    <w:uiPriority w:val="0"/>
    <w:pPr>
      <w:numPr>
        <w:ilvl w:val="0"/>
        <w:numId w:val="24"/>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2"/>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5"/>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6"/>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7"/>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3"/>
      </w:numPr>
      <w:ind w:firstLine="0" w:firstLineChars="0"/>
    </w:pPr>
  </w:style>
  <w:style w:type="paragraph" w:customStyle="1" w:styleId="193">
    <w:name w:val="标准文件_三级项2"/>
    <w:basedOn w:val="62"/>
    <w:qFormat/>
    <w:uiPriority w:val="0"/>
    <w:pPr>
      <w:numPr>
        <w:ilvl w:val="0"/>
        <w:numId w:val="29"/>
      </w:numPr>
      <w:spacing w:line="300" w:lineRule="exact"/>
      <w:ind w:firstLineChars="0"/>
    </w:pPr>
    <w:rPr>
      <w:rFonts w:ascii="Times New Roman"/>
    </w:rPr>
  </w:style>
  <w:style w:type="paragraph" w:customStyle="1" w:styleId="194">
    <w:name w:val="标准文件_一级项2"/>
    <w:basedOn w:val="62"/>
    <w:qFormat/>
    <w:uiPriority w:val="0"/>
    <w:pPr>
      <w:numPr>
        <w:ilvl w:val="0"/>
        <w:numId w:val="30"/>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4"/>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7"/>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7"/>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7"/>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7"/>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7"/>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qFormat/>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uiPriority w:val="0"/>
    <w:pPr>
      <w:numPr>
        <w:ilvl w:val="1"/>
        <w:numId w:val="31"/>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uiPriority w:val="0"/>
    <w:pPr>
      <w:numPr>
        <w:ilvl w:val="0"/>
        <w:numId w:val="31"/>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uiPriority w:val="0"/>
    <w:pPr>
      <w:numPr>
        <w:ilvl w:val="2"/>
      </w:numPr>
      <w:spacing w:before="50" w:after="50"/>
      <w:outlineLvl w:val="3"/>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517</Words>
  <Characters>2952</Characters>
  <Lines>24</Lines>
  <Paragraphs>6</Paragraphs>
  <TotalTime>5</TotalTime>
  <ScaleCrop>false</ScaleCrop>
  <LinksUpToDate>false</LinksUpToDate>
  <CharactersWithSpaces>3463</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2025-02-06T07:53:00Z</dcterms:created>
  <dc:creator>Administrator</dc:creator>
  <cp:lastModifiedBy>Administrator</cp:lastModifiedBy>
  <dcterms:modified xsi:type="dcterms:W3CDTF">2025-02-07T01:12:44Z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